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Руководство пользователя</w:t>
      </w:r>
    </w:p>
    <w:p>
      <w:pPr>
        <w:pStyle w:val="Heading2"/>
      </w:pPr>
      <w:r>
        <w:t>1. Вход в систему</w:t>
      </w:r>
    </w:p>
    <w:p>
      <w:pPr>
        <w:pStyle w:val="ListNumber"/>
      </w:pPr>
      <w:r>
        <w:rPr>
          <w:b w:val="0"/>
        </w:rPr>
        <w:t>Откройте адрес портала в браузере.</w:t>
      </w:r>
    </w:p>
    <w:p>
      <w:pPr>
        <w:pStyle w:val="ListNumber"/>
      </w:pPr>
      <w:r>
        <w:rPr>
          <w:b w:val="0"/>
        </w:rPr>
        <w:t>Нажмите «Регистрация», укажите e-mail, ФИО и пароль, подтвердите e-mail по ссылке из письма.</w:t>
      </w:r>
    </w:p>
    <w:p>
      <w:pPr>
        <w:pStyle w:val="ListNumber"/>
      </w:pPr>
      <w:r>
        <w:rPr>
          <w:b w:val="0"/>
        </w:rPr>
        <w:t>Войдите по e-mail и паролю. Выход — пункт «Выйти» в меню пользователя.</w:t>
      </w:r>
    </w:p>
    <w:p>
      <w:r>
        <w:rPr>
          <w:b w:val="0"/>
        </w:rPr>
        <w:t>Весь интерфейс на русском языке. На телефоне меню открывается кнопкой в верхнем углу.</w:t>
      </w:r>
    </w:p>
    <w:p>
      <w:pPr>
        <w:pStyle w:val="Heading2"/>
      </w:pPr>
      <w:r>
        <w:t>2. Главное меню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Раздел</w:t>
            </w:r>
          </w:p>
        </w:tc>
        <w:tc>
          <w:tcPr>
            <w:tcW w:type="dxa" w:w="4320"/>
          </w:tcPr>
          <w:p>
            <w:r>
              <w:rPr>
                <w:b/>
              </w:rPr>
              <w:t>Что делает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Объекты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список объектов строительства, карточка объекта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Оценка стоимости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расчёт укрупнённой стоимости строительства (УПС) и смет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НСИ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нормативы ФСНБ-2022, классификаторы, ТТК и ППР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BIM-модель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загрузка и просмотр модели IFC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Чертежи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листы и версии чертежей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Участок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карта участка и слои ГИС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График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4D-план работ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План-факт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выполнение и отклонения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Документы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исполнительная документация и формы КС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Аналитика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показатели объекта и портфеля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Организации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юрлица и сотрудники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</w:rPr>
              <w:t>Администрирование</w:t>
            </w:r>
          </w:p>
        </w:tc>
        <w:tc>
          <w:tcPr>
            <w:tcW w:type="dxa" w:w="4320"/>
          </w:tcPr>
          <w:p>
            <w:r>
              <w:rPr>
                <w:b w:val="0"/>
              </w:rPr>
              <w:t>пользователи, роли, настройки, журнал аудита (только администратор)</w:t>
            </w:r>
          </w:p>
        </w:tc>
      </w:tr>
    </w:tbl>
    <w:p/>
    <w:p>
      <w:pPr>
        <w:pStyle w:val="Heading2"/>
      </w:pPr>
      <w:r>
        <w:t>3. Работа с реестрами</w:t>
      </w:r>
    </w:p>
    <w:p>
      <w:r>
        <w:rPr>
          <w:b w:val="0"/>
        </w:rPr>
        <w:t>Все списки — единая таблица: поиск в строке над таблицей, фильтр и сортировка по заголовку столбца, выгрузка кнопкой «Excel». Карточка записи открывается во всплывающем окне по клику на строку; обязательные поля отмечены звёздочкой, ошибки показываются под полем.</w:t>
      </w:r>
    </w:p>
    <w:p>
      <w:pPr>
        <w:pStyle w:val="Heading2"/>
      </w:pPr>
      <w:r>
        <w:t>4. Типовой сценарий</w:t>
      </w:r>
    </w:p>
    <w:p>
      <w:pPr>
        <w:pStyle w:val="ListNumber"/>
      </w:pPr>
      <w:r>
        <w:rPr>
          <w:b w:val="0"/>
        </w:rPr>
        <w:t>Создать объект: «Объекты» → «Добавить», заполнить название, адрес и тип объекта.</w:t>
      </w:r>
    </w:p>
    <w:p>
      <w:pPr>
        <w:pStyle w:val="ListNumber"/>
      </w:pPr>
      <w:r>
        <w:rPr>
          <w:b w:val="0"/>
        </w:rPr>
        <w:t>Загрузить модель: «BIM-модель» → «Загрузить IFC».</w:t>
      </w:r>
    </w:p>
    <w:p>
      <w:pPr>
        <w:pStyle w:val="ListNumber"/>
      </w:pPr>
      <w:r>
        <w:rPr>
          <w:b w:val="0"/>
        </w:rPr>
        <w:t>Рассчитать стоимость: «Оценка стоимости» → «Новый расчёт», выбрать объект-аналог и показатели, сохранить и выгрузить отчёт в PDF или Excel.</w:t>
      </w:r>
    </w:p>
    <w:p>
      <w:pPr>
        <w:pStyle w:val="ListNumber"/>
      </w:pPr>
      <w:r>
        <w:rPr>
          <w:b w:val="0"/>
        </w:rPr>
        <w:t>Вести график и выполнение: «График» и «План-факт».</w:t>
      </w:r>
    </w:p>
    <w:p>
      <w:pPr>
        <w:pStyle w:val="Heading2"/>
      </w:pPr>
      <w:r>
        <w:t>5. Администратору</w:t>
      </w:r>
    </w:p>
    <w:p>
      <w:pPr>
        <w:pStyle w:val="ListBullet"/>
      </w:pPr>
      <w:r>
        <w:rPr>
          <w:b w:val="0"/>
        </w:rPr>
        <w:t>«Администрирование → Пользователи»: блокировка, роли, сброс пароля;</w:t>
      </w:r>
    </w:p>
    <w:p>
      <w:pPr>
        <w:pStyle w:val="ListBullet"/>
      </w:pPr>
      <w:r>
        <w:rPr>
          <w:b w:val="0"/>
        </w:rPr>
        <w:t>«Администрирование → Журнал аудита»: кто, когда и что изменил;</w:t>
      </w:r>
    </w:p>
    <w:p>
      <w:pPr>
        <w:pStyle w:val="ListBullet"/>
      </w:pPr>
      <w:r>
        <w:rPr>
          <w:b w:val="0"/>
        </w:rPr>
        <w:t>«Администрирование → Настройки»: параметры организации, почта, справочники.</w:t>
      </w:r>
    </w:p>
    <w:p>
      <w:pPr>
        <w:pStyle w:val="Heading2"/>
      </w:pPr>
      <w:r>
        <w:t>6. Поддержка</w:t>
      </w:r>
    </w:p>
    <w:p>
      <w:r>
        <w:rPr>
          <w:b w:val="0"/>
        </w:rPr>
        <w:t>E-mail svet.it@bk.ru. Порядок обращений и сроки — документ Р5.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