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Технические средства хранения исходного текста и компиляции</w:t>
      </w:r>
    </w:p>
    <w:p>
      <w:pPr>
        <w:pStyle w:val="Heading2"/>
      </w:pPr>
      <w:r>
        <w:t>1. Хранение исходного текста</w:t>
      </w:r>
    </w:p>
    <w:p>
      <w:r>
        <w:rPr>
          <w:b w:val="0"/>
        </w:rPr>
        <w:t>Основной репозиторий исходного текста хранится на сервере ООО «СветИТ» в центре обработки данных на территории РФ: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Параметр</w:t>
            </w:r>
          </w:p>
        </w:tc>
        <w:tc>
          <w:tcPr>
            <w:tcW w:type="dxa" w:w="4320"/>
          </w:tcPr>
          <w:p>
            <w:r>
              <w:rPr>
                <w:b/>
              </w:rPr>
              <w:t>Значение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Сервер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виртуальный сервер, IP 194.226.112.133, ЦОД в г. Москве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Система контроля версий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Git (репозиторий /srv/apps/&lt;продукт&gt;/repo.git)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Доступ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только по SSH-ключам сотрудников правообладателя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Резервные копии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ежедневно, хранятся на территории РФ</w:t>
            </w:r>
          </w:p>
        </w:tc>
      </w:tr>
    </w:tbl>
    <w:p/>
    <w:p>
      <w:r>
        <w:rPr>
          <w:b/>
          <w:i/>
        </w:rPr>
        <w:t>Перед подачей:</w:t>
      </w:r>
      <w:r>
        <w:rPr>
          <w:b w:val="0"/>
          <w:i/>
        </w:rPr>
        <w:t xml:space="preserve"> перенести основной репозиторий и систему учёта задач с gitlab.com на сервер в РФ (собственный GitLab CE или российский сервис GitFlic / GitVerse). Пока репозиторий ведётся на gitlab.com, требование подп. «и» не выполнено.</w:t>
      </w:r>
    </w:p>
    <w:p>
      <w:pPr>
        <w:pStyle w:val="Heading2"/>
      </w:pPr>
      <w:r>
        <w:t>2. Сборка (компиляция)</w:t>
      </w:r>
    </w:p>
    <w:p>
      <w:r>
        <w:rPr>
          <w:b w:val="0"/>
        </w:rPr>
        <w:t>Объектный код (контейнерные образы, сборка клиентского приложения) собирается на том же сервере в РФ:</w:t>
      </w:r>
    </w:p>
    <w:p>
      <w:pPr>
        <w:pStyle w:val="ListBullet"/>
      </w:pPr>
      <w:r>
        <w:rPr>
          <w:b w:val="0"/>
        </w:rPr>
        <w:t>исполнитель сборки (GitLab Runner) установлен на сервере 194.226.112.133;</w:t>
      </w:r>
    </w:p>
    <w:p>
      <w:pPr>
        <w:pStyle w:val="ListBullet"/>
      </w:pPr>
      <w:r>
        <w:rPr>
          <w:b w:val="0"/>
        </w:rPr>
        <w:t>после слияния изменений в основную ветку исходный текст передаётся в репозиторий на сервере, скрипт сборки собирает образы Docker и запускает новую версию;</w:t>
      </w:r>
    </w:p>
    <w:p>
      <w:pPr>
        <w:pStyle w:val="ListBullet"/>
      </w:pPr>
      <w:r>
        <w:rPr>
          <w:b w:val="0"/>
        </w:rPr>
        <w:t>клиентская часть: TypeScript → JavaScript (сборщик Vite) внутри контейнера на сервере;</w:t>
      </w:r>
    </w:p>
    <w:p>
      <w:pPr>
        <w:pStyle w:val="ListBullet"/>
      </w:pPr>
      <w:r>
        <w:rPr>
          <w:b w:val="0"/>
        </w:rPr>
        <w:t>серверная часть: интерпретируемый Python, байт-код формируется на сервере при установке.</w:t>
      </w:r>
    </w:p>
    <w:p>
      <w:pPr>
        <w:pStyle w:val="Heading2"/>
      </w:pPr>
      <w:r>
        <w:t>3. Объектный код</w:t>
      </w:r>
    </w:p>
    <w:p>
      <w:r>
        <w:rPr>
          <w:b w:val="0"/>
        </w:rPr>
        <w:t>Собранные образы хранятся в локальном хранилище Docker на сервере в РФ. Дистрибутив для установки у заказчика передаётся заказчику напрямую, без иностранных серверов.</w:t>
      </w:r>
    </w:p>
    <w:p>
      <w:pPr>
        <w:pStyle w:val="Heading2"/>
      </w:pPr>
      <w:r>
        <w:t>4. Сторонние компоненты</w:t>
      </w:r>
    </w:p>
    <w:p>
      <w:r>
        <w:rPr>
          <w:b w:val="0"/>
        </w:rPr>
        <w:t>Сторонние библиотеки с открытой лицензией (Р10) скачиваются при сборке из публичных репозиториев пакетов. Для независимости от зарубежных ресурсов используется кеш пакетов на сервере в РФ.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